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eastAsia="zh-CN"/>
        </w:rPr>
      </w:pPr>
      <w:r>
        <w:rPr>
          <w:rFonts w:hint="eastAsia"/>
        </w:rPr>
        <w:t>MIG Welding Machines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1）</w:t>
      </w:r>
      <w:r>
        <w:rPr>
          <w:rFonts w:hint="eastAsia"/>
        </w:rPr>
        <w:t>Portable series: 1 phase 220V or 110/220V (MV, PFC)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MIG-180i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MIG-200i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Multi MIG-200Di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Multi MIG-200MV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2）</w:t>
      </w:r>
      <w:r>
        <w:rPr>
          <w:rFonts w:hint="eastAsia"/>
        </w:rPr>
        <w:t>Professional &amp; Industrial Equipment: 1 phase 220V or 3 phase 380V or 220-440V (Dual Volts)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MIG-250i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MIG-300i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MT-250i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MT-300i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MIG-400dual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MIG-350i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MIG-500i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MIG-350CF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MIG-500CF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06600"/>
    <w:rsid w:val="3E2066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2015-12-31T07:55:00Z</dcterms:created>
  <dc:creator>Administrator</dc:creator>
  <cp:lastModifiedBy>Administrator</cp:lastModifiedBy>
  <dcterms:modified xsi:type="dcterms:W3CDTF">2015-12-31T08:00:13Z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